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OLE_LINK14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spacing w:before="159" w:beforeLines="50"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温州市万人综合</w:t>
      </w:r>
      <w:bookmarkStart w:id="1" w:name="_GoBack"/>
      <w:bookmarkEnd w:id="1"/>
      <w:r>
        <w:rPr>
          <w:rFonts w:hint="eastAsia" w:ascii="Times New Roman" w:hAnsi="Times New Roman" w:eastAsia="方正小标宋简体"/>
          <w:sz w:val="44"/>
          <w:szCs w:val="44"/>
        </w:rPr>
        <w:t>评议网络平台数据录入</w:t>
      </w:r>
    </w:p>
    <w:p>
      <w:pPr>
        <w:spacing w:before="159" w:beforeLines="50"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上传工作规范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一、录入上传数据范围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各参评对象录入上传数据为已受理事项（以受理时间为准），包括服务对象姓名、手机号码、服务事项、办理时间等，具体包括以下内容：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1、行政许可事项，录入上传事项内容以编制部门核定的许可事项名称为准；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2、行政处罚事项，录入上传事项内容以法律法规规定表述为准；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3、行政征收、行政强制、行政给付、行政奖励、行政确认、行政裁决、行政监察以及纳入本级权力清单的其他事项，录入上传事项内容以法律法规规定表述或权力清单规范表述为准；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4、咨询与服务事项；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5、投诉事项（包括本单位直接受理或上级主管部门转办的投诉事项，12345政务服务热线转办的投诉件可不录入上传，但在办理投诉中产生其他行政行为如处罚、强制等，须按该行政行为要求录入上传）。</w:t>
      </w:r>
    </w:p>
    <w:p>
      <w:pPr>
        <w:spacing w:line="540" w:lineRule="exact"/>
        <w:ind w:firstLine="7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二、录入上传数据时间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服务对象数据原则上当日录入上传(</w:t>
      </w:r>
      <w:r>
        <w:rPr>
          <w:rFonts w:hint="eastAsia" w:ascii="仿宋_GB2312" w:hAnsi="仿宋_GB2312" w:eastAsia="仿宋_GB2312" w:cs="仿宋_GB2312"/>
          <w:sz w:val="32"/>
          <w:szCs w:val="32"/>
        </w:rPr>
        <w:t>不含周末及法定节假日</w:t>
      </w:r>
      <w:r>
        <w:rPr>
          <w:rFonts w:ascii="仿宋_GB2312" w:hAnsi="仿宋_GB2312" w:eastAsia="仿宋_GB2312" w:cs="仿宋_GB2312"/>
          <w:sz w:val="32"/>
          <w:szCs w:val="32"/>
        </w:rPr>
        <w:t>)，确有特殊原因的，须在次日12点前录入上传。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三、录入上传数据数量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除涉及工作秘密等特殊原因外，当日服务数据必须全部报送。当日服务件数量大于200件的，随机选报200件。</w:t>
      </w:r>
    </w:p>
    <w:p>
      <w:pPr>
        <w:spacing w:line="540" w:lineRule="exact"/>
        <w:ind w:firstLine="72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不得</w:t>
      </w:r>
      <w:r>
        <w:rPr>
          <w:rFonts w:ascii="黑体" w:hAnsi="黑体" w:eastAsia="黑体" w:cs="黑体"/>
          <w:sz w:val="32"/>
          <w:szCs w:val="32"/>
        </w:rPr>
        <w:t>录入上传数据范围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1、各参评单位内部工作事项，如召开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或组织</w:t>
      </w:r>
      <w:r>
        <w:rPr>
          <w:rFonts w:ascii="仿宋_GB2312" w:hAnsi="仿宋_GB2312" w:eastAsia="仿宋_GB2312" w:cs="仿宋_GB2312"/>
          <w:sz w:val="32"/>
          <w:szCs w:val="32"/>
        </w:rPr>
        <w:t>XX会议、组织本单位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</w:t>
      </w:r>
      <w:r>
        <w:rPr>
          <w:rFonts w:ascii="仿宋_GB2312" w:hAnsi="仿宋_GB2312" w:eastAsia="仿宋_GB2312" w:cs="仿宋_GB2312"/>
          <w:sz w:val="32"/>
          <w:szCs w:val="32"/>
        </w:rPr>
        <w:t>职工集中学习等;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2、内设机构之间工作事项，如某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设科</w:t>
      </w:r>
      <w:r>
        <w:rPr>
          <w:rFonts w:ascii="仿宋_GB2312" w:hAnsi="仿宋_GB2312" w:eastAsia="仿宋_GB2312" w:cs="仿宋_GB2312"/>
          <w:sz w:val="32"/>
          <w:szCs w:val="32"/>
        </w:rPr>
        <w:t>室之间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</w:t>
      </w:r>
      <w:r>
        <w:rPr>
          <w:rFonts w:ascii="仿宋_GB2312" w:hAnsi="仿宋_GB2312" w:eastAsia="仿宋_GB2312" w:cs="仿宋_GB2312"/>
          <w:sz w:val="32"/>
          <w:szCs w:val="32"/>
        </w:rPr>
        <w:t>之间等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有直接隶属关系的下级对上级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及其内设科室布置</w:t>
      </w:r>
      <w:r>
        <w:rPr>
          <w:rFonts w:ascii="仿宋_GB2312" w:hAnsi="仿宋_GB2312" w:eastAsia="仿宋_GB2312" w:cs="仿宋_GB2312"/>
          <w:sz w:val="32"/>
          <w:szCs w:val="32"/>
        </w:rPr>
        <w:t>的工作事项，如某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主管局</w:t>
      </w:r>
      <w:r>
        <w:rPr>
          <w:rFonts w:ascii="仿宋_GB2312" w:hAnsi="仿宋_GB2312" w:eastAsia="仿宋_GB2312" w:cs="仿宋_GB2312"/>
          <w:sz w:val="32"/>
          <w:szCs w:val="32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科室</w:t>
      </w:r>
      <w:r>
        <w:rPr>
          <w:rFonts w:ascii="仿宋_GB2312" w:hAnsi="仿宋_GB2312" w:eastAsia="仿宋_GB2312" w:cs="仿宋_GB2312"/>
          <w:sz w:val="32"/>
          <w:szCs w:val="32"/>
        </w:rPr>
        <w:t>作为服务对象等(监督指导仅限上级对下级开展，由上级部门负责录入上传);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4、未实际发生的工作事项，如将未办理事项的亲属、好友作为服务对象，以工作咨询等名义录入上传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40" w:lineRule="exact"/>
        <w:ind w:firstLine="7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5、其他不属于录入上传范围的数据。</w:t>
      </w:r>
    </w:p>
    <w:p>
      <w:pPr>
        <w:spacing w:line="540" w:lineRule="exact"/>
        <w:ind w:firstLine="7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五、其他注意事项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1、各参评对象要按照各类事项规范格式录入上传数据，严格控制字数，原则上不超过10个字；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2、各参评对象要严格按照规定录入上传数据，不得对录入上传数据进行筛选；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3、各参评对象对录入上传数据的真实性、全面性负责，不得出现瞒报、漏报、虚报、选择性上报等弄虚作假行为。</w:t>
      </w:r>
    </w:p>
    <w:p>
      <w:pPr>
        <w:spacing w:line="540" w:lineRule="exact"/>
        <w:ind w:firstLine="7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六、不规范录入上传数据列举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（一）包含办事人姓名、居住地等无关信息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1、不规范事例——为儿子XX办理健康证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规范表述——办理健康证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2、不规范事例——给XX公司提供纳税服务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规范表述——纳税服务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（二）包含当事人评价信息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1、不规范事例——债务纠纷，民警调解后圆满解决</w:t>
      </w:r>
    </w:p>
    <w:p>
      <w:pPr>
        <w:spacing w:line="520" w:lineRule="exact"/>
        <w:ind w:left="319" w:leftChars="152" w:firstLine="774" w:firstLineChars="24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规范表述——110报警债务纠纷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2、不规范事例——咨询户口问题，非常满意</w:t>
      </w:r>
    </w:p>
    <w:p>
      <w:pPr>
        <w:spacing w:line="520" w:lineRule="exact"/>
        <w:ind w:left="319" w:leftChars="152" w:firstLine="774" w:firstLineChars="24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规范表述——户口业务咨询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（三）包含当事人隐私或不便透露的个人信息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1、不规范事例——XX疾病就诊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规范表述——门诊治疗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2、不规范事例——为XXX和XX办理离婚业务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规范表述——婚姻登记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（四）表述重复、繁琐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1、不规范事例——咨询退伍军人参战证明需要提交什么资料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规范表述——退伍军人参战证明咨询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2、不规范事例——执法人员将占道流动菜贩劝离，保障道路畅通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规范表述——违章占道处罚(或执法)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3、不规范事例——乘客喝多了，求助 </w:t>
      </w:r>
    </w:p>
    <w:p>
      <w:pPr>
        <w:spacing w:line="520" w:lineRule="exact"/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规范表述——110报警求助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44CB2"/>
    <w:rsid w:val="459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2020-05-08T06:09:00Z</dcterms:created>
  <dc:creator>陈乐婷</dc:creator>
  <cp:lastModifiedBy>陈乐婷</cp:lastModifiedBy>
  <dcterms:modified xsi:type="dcterms:W3CDTF">2020-05-08T06:09:53Z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