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年度行风政风双评议活动参评基层站所名单</w:t>
      </w:r>
    </w:p>
    <w:bookmarkEnd w:id="0"/>
    <w:p>
      <w:pPr>
        <w:pStyle w:val="2"/>
        <w:rPr>
          <w:rFonts w:hint="eastAsia"/>
          <w:lang w:eastAsia="zh-CN"/>
        </w:rPr>
      </w:pPr>
    </w:p>
    <w:tbl>
      <w:tblPr>
        <w:tblStyle w:val="5"/>
        <w:tblW w:w="13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392"/>
        <w:gridCol w:w="1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  <w:t>序号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  <w:t>片区</w:t>
            </w:r>
          </w:p>
        </w:tc>
        <w:tc>
          <w:tcPr>
            <w:tcW w:w="1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  <w:t>基层站所(窗口)名称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Times New Roman"/>
                <w:b/>
                <w:color w:val="000000"/>
                <w:sz w:val="24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val="en-US" w:eastAsia="zh-CN"/>
              </w:rPr>
              <w:t>个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1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北岙街道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10个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北岙派出所dtgadtfj09、交警一中队dtgadtfj13、燕子山派出所dtgadtfj17、北岙司法所dtdtqsfj04、北岙自然资源所dtszrzyhghjdtfj06、北岙社区卫生服务中心dtdtqwsjkj07、北岙市场监督管理所dtqscjgj13、区综合执法局北岙中队dtqzhzfj06、北岙税务所dtdtqswj08、海霞供电所</w:t>
            </w:r>
            <w:r>
              <w:rPr>
                <w:rFonts w:hint="eastAsia" w:ascii="宋体" w:hAnsi="宋体" w:cs="Times New Roman"/>
                <w:color w:val="auto"/>
                <w:szCs w:val="21"/>
                <w:lang w:val="en-US" w:eastAsia="zh-CN"/>
              </w:rPr>
              <w:t>（北岙片区）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dtgwwzsdtqgdgs04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2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大门镇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10个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大门派出所（交警二中队）dtgadtfj14、大门司法所dtdtqsfj05、大门自然资源所dtszrzyhghjdtfj07、大门住房和城乡建设管理中心dtdtqzjj12、交通运输综合行政执法队大门交通执法队dtqjtysj05、大门镇中心卫生院dtdtqwsjkj08、大门市场监督管理所dtqscjgj14、区综合执法局大门中队dtqzhzfj07、大门税务所dtdtqswj09、大门供电所dtgwwzsdtqgdgs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3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东屏街道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个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东屏派出所dtgadtfj10、交警四中队dtgadtfj13、东屏司法所dtdtqsfj06、东屏自然资源所dtszrzyhghjdtfj08、东屏社区卫生服务中心dtdtqwsjkj09、东屏市场监督管理所dtqscjgj15、区综合执法局东屏中队dtqzhzfj08</w:t>
            </w:r>
            <w:r>
              <w:rPr>
                <w:rFonts w:hint="eastAsia" w:ascii="宋体" w:hAnsi="宋体" w:cs="Times New Roman"/>
                <w:color w:val="auto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海霞供电所</w:t>
            </w:r>
            <w:r>
              <w:rPr>
                <w:rFonts w:hint="eastAsia" w:ascii="宋体" w:hAnsi="宋体" w:cs="Times New Roman"/>
                <w:color w:val="auto"/>
                <w:szCs w:val="21"/>
                <w:lang w:val="en-US" w:eastAsia="zh-CN"/>
              </w:rPr>
              <w:t>（东屏片区）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dtgwwzsdtqgdgs04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4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元觉街道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8个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元觉派出所dtgadtfj12、交警三中队（元觉片区）dtgadtfj15、元觉司法所dtdtqsfj07、元觉自然资源所dtszrzyhghjdtfj09、元觉社区卫生服务中心dtdtqwsjkj10、元觉市场监督管理所dtqscjgj16、区综合执法局元觉中队dtqzhzfj09、元觉供电所</w:t>
            </w:r>
            <w:r>
              <w:rPr>
                <w:rFonts w:hint="eastAsia" w:ascii="宋体" w:hAnsi="宋体" w:cs="Times New Roman"/>
                <w:color w:val="auto"/>
                <w:szCs w:val="21"/>
                <w:lang w:val="en-US" w:eastAsia="zh-CN"/>
              </w:rPr>
              <w:t>（元觉片区）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dtgwwzsdtqgdgs06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5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霓屿街道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个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宋体" w:hAnsi="Times New Roman" w:eastAsia="宋体" w:cs="Times New Roman"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霓屿派出所dtgadtfj11、交警三中队（霓屿片区）dtgadtfj15、霓屿司法所dtdtqsfj08、霓屿自然资源所dtszrzyhghjdtfj10、霓屿社区卫生服务中心dtdtqwsjkj11、霓屿市场监督管理所dtqscjgj17、区综合执法局霓屿中队dtqzhzfj10</w:t>
            </w:r>
            <w:r>
              <w:rPr>
                <w:rFonts w:hint="eastAsia" w:ascii="宋体" w:hAnsi="宋体" w:cs="Times New Roman"/>
                <w:color w:val="auto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元觉供电所</w:t>
            </w:r>
            <w:r>
              <w:rPr>
                <w:rFonts w:hint="eastAsia" w:ascii="宋体" w:hAnsi="宋体" w:cs="Times New Roman"/>
                <w:color w:val="auto"/>
                <w:szCs w:val="21"/>
                <w:lang w:val="en-US" w:eastAsia="zh-CN"/>
              </w:rPr>
              <w:t>（霓屿片区）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dtgwwzsdtqgdgs06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6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鹿西乡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7个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宋体" w:hAnsi="Times New Roman" w:eastAsia="宋体" w:cs="Times New Roman"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鹿西派出所（交警鹿西中队）dtgadtfj16、鹿西司法所dtdtqsfj09、鹿西自然资源所dtszrzyhghjdtfj11、鹿西乡卫生院dtdtqwsjkj12、鹿西市场监督管理所dtqscjgj18、区综合执法局鹿西中队dtqzhzfj11、鹿西供电</w:t>
            </w:r>
            <w:r>
              <w:rPr>
                <w:rFonts w:hint="eastAsia" w:ascii="宋体" w:hAnsi="宋体" w:cs="Times New Roman"/>
                <w:color w:val="auto"/>
                <w:szCs w:val="21"/>
                <w:lang w:val="en-US" w:eastAsia="zh-CN"/>
              </w:rPr>
              <w:t>所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dtgwwzsdtqgdgs07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024BC"/>
    <w:rsid w:val="5030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semiHidden/>
    <w:unhideWhenUsed/>
    <w:qFormat/>
    <w:uiPriority w:val="99"/>
    <w:pPr>
      <w:spacing w:after="120" w:afterLines="0" w:afterAutospacing="0"/>
    </w:pPr>
  </w:style>
  <w:style w:type="paragraph" w:customStyle="1" w:styleId="4">
    <w:name w:val="toc 11"/>
    <w:next w:val="1"/>
    <w:qFormat/>
    <w:uiPriority w:val="99"/>
    <w:pPr>
      <w:wordWrap w:val="0"/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2022-04-18T06:58:00Z</dcterms:created>
  <dc:creator>陈乐婷</dc:creator>
  <cp:lastModifiedBy>陈乐婷</cp:lastModifiedBy>
  <dcterms:modified xsi:type="dcterms:W3CDTF">2022-04-18T06:58:27Z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